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</w:t>
            </w:r>
            <w:proofErr w:type="spellStart"/>
            <w:r w:rsidRPr="00510575">
              <w:rPr>
                <w:b/>
                <w:sz w:val="20"/>
              </w:rPr>
              <w:t>Майминский</w:t>
            </w:r>
            <w:proofErr w:type="spellEnd"/>
            <w:r w:rsidRPr="00510575">
              <w:rPr>
                <w:b/>
                <w:sz w:val="20"/>
              </w:rPr>
              <w:t xml:space="preserve">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05CED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  <w:p w:rsidR="00705CED" w:rsidRPr="0088132A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C730A3" w:rsidRPr="00C730A3">
        <w:rPr>
          <w:b/>
          <w:bCs/>
          <w:sz w:val="28"/>
          <w:szCs w:val="28"/>
        </w:rPr>
        <w:t>Выдача градостроительного плана земельного участка</w:t>
      </w:r>
      <w:r w:rsidR="00BD19F7" w:rsidRPr="00BD19F7">
        <w:rPr>
          <w:b/>
          <w:sz w:val="28"/>
          <w:szCs w:val="28"/>
        </w:rPr>
        <w:t>»</w:t>
      </w:r>
    </w:p>
    <w:p w:rsidR="00764686" w:rsidRPr="00084E5C" w:rsidRDefault="00764686" w:rsidP="00565EEF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65EEF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</w:t>
      </w:r>
      <w:r w:rsidR="00C730A3" w:rsidRPr="00C730A3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C5509B" w:rsidRPr="00C5509B">
        <w:rPr>
          <w:rFonts w:ascii="Times New Roman" w:hAnsi="Times New Roman" w:cs="Times New Roman"/>
          <w:sz w:val="28"/>
          <w:szCs w:val="28"/>
        </w:rPr>
        <w:t>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</w:t>
      </w:r>
      <w:proofErr w:type="spellStart"/>
      <w:r w:rsidR="000713A3" w:rsidRPr="000713A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C730A3">
        <w:rPr>
          <w:rFonts w:ascii="Times New Roman" w:hAnsi="Times New Roman" w:cs="Times New Roman"/>
          <w:sz w:val="28"/>
          <w:szCs w:val="28"/>
        </w:rPr>
        <w:t>9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C730A3">
        <w:rPr>
          <w:rFonts w:ascii="Times New Roman" w:hAnsi="Times New Roman" w:cs="Times New Roman"/>
          <w:sz w:val="28"/>
          <w:szCs w:val="28"/>
        </w:rPr>
        <w:t>сентября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C730A3">
        <w:rPr>
          <w:rFonts w:ascii="Times New Roman" w:hAnsi="Times New Roman" w:cs="Times New Roman"/>
          <w:sz w:val="28"/>
          <w:szCs w:val="28"/>
        </w:rPr>
        <w:t>1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30A3">
        <w:rPr>
          <w:rFonts w:ascii="Times New Roman" w:hAnsi="Times New Roman" w:cs="Times New Roman"/>
          <w:sz w:val="28"/>
          <w:szCs w:val="28"/>
        </w:rPr>
        <w:t xml:space="preserve">107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>7. Результатом предоставления муниципальной услуги является: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 xml:space="preserve">- согласование установки информационной вывески, согласование дизайн-проекта размещения вывески; 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>- выдача мотивированного отказе в согласовании установки информационной вывески, согласование дизайн-проекта размещения вывески.</w:t>
      </w:r>
    </w:p>
    <w:p w:rsidR="00F130A3" w:rsidRPr="00630568" w:rsidRDefault="00F130A3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30568">
        <w:rPr>
          <w:sz w:val="28"/>
          <w:szCs w:val="28"/>
        </w:rPr>
        <w:t>15</w:t>
      </w:r>
      <w:r>
        <w:rPr>
          <w:sz w:val="28"/>
          <w:szCs w:val="28"/>
        </w:rPr>
        <w:t xml:space="preserve"> подраздела 2.1</w:t>
      </w:r>
      <w:r w:rsidR="00630568">
        <w:rPr>
          <w:sz w:val="28"/>
          <w:szCs w:val="28"/>
        </w:rPr>
        <w:t>0</w:t>
      </w:r>
      <w:r>
        <w:rPr>
          <w:sz w:val="28"/>
          <w:szCs w:val="28"/>
        </w:rPr>
        <w:t>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>2.1</w:t>
      </w:r>
      <w:r w:rsidR="00E920FC">
        <w:rPr>
          <w:rFonts w:ascii="Times New Roman" w:hAnsi="Times New Roman" w:cs="Times New Roman"/>
          <w:sz w:val="28"/>
          <w:szCs w:val="28"/>
        </w:rPr>
        <w:t>2</w:t>
      </w:r>
      <w:r w:rsidR="00D120AD">
        <w:rPr>
          <w:rFonts w:ascii="Times New Roman" w:hAnsi="Times New Roman" w:cs="Times New Roman"/>
          <w:sz w:val="28"/>
          <w:szCs w:val="28"/>
        </w:rPr>
        <w:t xml:space="preserve">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</w:t>
      </w:r>
      <w:r w:rsidR="00E920FC">
        <w:rPr>
          <w:rFonts w:ascii="Times New Roman" w:hAnsi="Times New Roman" w:cs="Times New Roman"/>
          <w:b/>
          <w:sz w:val="28"/>
          <w:szCs w:val="28"/>
        </w:rPr>
        <w:t>2</w:t>
      </w:r>
      <w:r w:rsidRPr="004F6165">
        <w:rPr>
          <w:rFonts w:ascii="Times New Roman" w:hAnsi="Times New Roman" w:cs="Times New Roman"/>
          <w:b/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630568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>4</w:t>
      </w:r>
      <w:r w:rsidR="00552C9B">
        <w:t>7</w:t>
      </w:r>
      <w:r>
        <w:t>.</w:t>
      </w:r>
      <w:r w:rsidR="00552C9B">
        <w:t>1</w:t>
      </w:r>
      <w:r>
        <w:t xml:space="preserve">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1810B8" w:rsidRDefault="00D120AD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565EEF" w:rsidRPr="00565EEF" w:rsidRDefault="00565EEF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630568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565EEF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proofErr w:type="gramStart"/>
      <w:r w:rsidR="004F6165" w:rsidRPr="004F6165">
        <w:rPr>
          <w:snapToGrid/>
          <w:color w:val="000000"/>
          <w:sz w:val="28"/>
          <w:szCs w:val="28"/>
        </w:rPr>
        <w:t>день,–</w:t>
      </w:r>
      <w:proofErr w:type="gramEnd"/>
      <w:r w:rsidR="004F6165"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AE3C37">
        <w:rPr>
          <w:sz w:val="28"/>
          <w:szCs w:val="28"/>
        </w:rPr>
        <w:t>47.3</w:t>
      </w:r>
      <w:r w:rsidRPr="00552C9B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7E071D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7E071D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№1198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52C9B" w:rsidRPr="004F6165" w:rsidRDefault="00552C9B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4F6165" w:rsidRPr="004F6165" w:rsidRDefault="004F6165" w:rsidP="00552C9B">
      <w:pPr>
        <w:pStyle w:val="a"/>
        <w:numPr>
          <w:ilvl w:val="1"/>
          <w:numId w:val="19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552C9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552C9B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F616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</w:t>
      </w:r>
      <w:r w:rsidR="007E071D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552C9B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552C9B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552C9B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 w:rsidR="00AE3C37">
        <w:rPr>
          <w:sz w:val="28"/>
          <w:szCs w:val="28"/>
        </w:rPr>
        <w:t xml:space="preserve">а Российской Федерации от 27 сентября </w:t>
      </w:r>
      <w:r w:rsidR="004F6165" w:rsidRPr="004F6165">
        <w:rPr>
          <w:sz w:val="28"/>
          <w:szCs w:val="28"/>
        </w:rPr>
        <w:t>2011</w:t>
      </w:r>
      <w:r w:rsidR="00AE3C3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7E071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7E071D">
        <w:rPr>
          <w:sz w:val="28"/>
          <w:szCs w:val="28"/>
        </w:rPr>
        <w:t xml:space="preserve"> П</w:t>
      </w:r>
      <w:r w:rsidR="004F6165" w:rsidRPr="004F6165">
        <w:rPr>
          <w:sz w:val="28"/>
          <w:szCs w:val="28"/>
        </w:rPr>
        <w:t>остановление</w:t>
      </w:r>
      <w:r w:rsidR="007E071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7E071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</w:t>
      </w:r>
      <w:proofErr w:type="spellStart"/>
      <w:r w:rsidRPr="004F6165">
        <w:rPr>
          <w:sz w:val="28"/>
          <w:szCs w:val="28"/>
        </w:rPr>
        <w:t>Майминский</w:t>
      </w:r>
      <w:proofErr w:type="spellEnd"/>
      <w:r w:rsidRPr="004F6165">
        <w:rPr>
          <w:sz w:val="28"/>
          <w:szCs w:val="28"/>
        </w:rPr>
        <w:t xml:space="preserve">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</w:t>
            </w:r>
            <w:proofErr w:type="spellStart"/>
            <w:r w:rsidRPr="00084E5C">
              <w:rPr>
                <w:sz w:val="28"/>
                <w:szCs w:val="28"/>
              </w:rPr>
              <w:t>Майминский</w:t>
            </w:r>
            <w:proofErr w:type="spellEnd"/>
            <w:r w:rsidRPr="00084E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A1182C" w:rsidRDefault="00A1182C" w:rsidP="00A1182C">
      <w:pPr>
        <w:spacing w:before="0" w:line="240" w:lineRule="auto"/>
        <w:ind w:left="0" w:right="0"/>
        <w:jc w:val="both"/>
        <w:rPr>
          <w:sz w:val="27"/>
          <w:szCs w:val="27"/>
        </w:rPr>
        <w:sectPr w:rsidR="00A1182C" w:rsidSect="00C96642">
          <w:headerReference w:type="default" r:id="rId10"/>
          <w:headerReference w:type="first" r:id="rId11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</w:p>
    <w:p w:rsidR="007B6A9E" w:rsidRDefault="007B6A9E" w:rsidP="00A1182C">
      <w:pPr>
        <w:spacing w:before="0" w:line="240" w:lineRule="auto"/>
        <w:ind w:left="0" w:right="0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</w:t>
      </w:r>
      <w:proofErr w:type="spellStart"/>
      <w:r w:rsidRPr="003A3292">
        <w:rPr>
          <w:rFonts w:eastAsia="Arial"/>
          <w:snapToGrid/>
          <w:sz w:val="28"/>
          <w:szCs w:val="28"/>
          <w:lang w:eastAsia="ar-SA"/>
        </w:rPr>
        <w:t>Майминский</w:t>
      </w:r>
      <w:proofErr w:type="spellEnd"/>
      <w:r w:rsidRPr="003A3292">
        <w:rPr>
          <w:rFonts w:eastAsia="Arial"/>
          <w:snapToGrid/>
          <w:sz w:val="28"/>
          <w:szCs w:val="28"/>
          <w:lang w:eastAsia="ar-SA"/>
        </w:rPr>
        <w:t xml:space="preserve">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Рябищенко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Директор МКУ «Центр учета, анализа и отчетности </w:t>
            </w:r>
            <w:proofErr w:type="spellStart"/>
            <w:r w:rsidRPr="003A3292">
              <w:rPr>
                <w:snapToGrid/>
                <w:sz w:val="20"/>
              </w:rPr>
              <w:t>Майминского</w:t>
            </w:r>
            <w:proofErr w:type="spellEnd"/>
            <w:r w:rsidRPr="003A3292">
              <w:rPr>
                <w:snapToGrid/>
                <w:sz w:val="20"/>
              </w:rPr>
              <w:t xml:space="preserve">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  <w:bookmarkStart w:id="0" w:name="_GoBack"/>
      <w:bookmarkEnd w:id="0"/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565EEF" w:rsidRDefault="007B6A9E" w:rsidP="00565EEF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sectPr w:rsidR="007B6A9E" w:rsidRPr="00565EEF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A1182C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52C9B"/>
    <w:rsid w:val="00565EEF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4136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05CED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071D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4D"/>
    <w:rsid w:val="009E48E5"/>
    <w:rsid w:val="00A04328"/>
    <w:rsid w:val="00A1182C"/>
    <w:rsid w:val="00A6730C"/>
    <w:rsid w:val="00AA19AA"/>
    <w:rsid w:val="00AA2E95"/>
    <w:rsid w:val="00AD1886"/>
    <w:rsid w:val="00AD622A"/>
    <w:rsid w:val="00AE2AD3"/>
    <w:rsid w:val="00AE3AF5"/>
    <w:rsid w:val="00AE3C37"/>
    <w:rsid w:val="00AF37D5"/>
    <w:rsid w:val="00B04021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5509B"/>
    <w:rsid w:val="00C730A3"/>
    <w:rsid w:val="00C73971"/>
    <w:rsid w:val="00C8240D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F5F6E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C7290-1D4D-4A08-9C67-27E7440B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90</TotalTime>
  <Pages>10</Pages>
  <Words>2398</Words>
  <Characters>19377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21</cp:revision>
  <cp:lastPrinted>2025-03-28T08:36:00Z</cp:lastPrinted>
  <dcterms:created xsi:type="dcterms:W3CDTF">2025-03-27T07:40:00Z</dcterms:created>
  <dcterms:modified xsi:type="dcterms:W3CDTF">2025-03-28T08:38:00Z</dcterms:modified>
</cp:coreProperties>
</file>